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3F" w:rsidRDefault="00EB1C3F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B1C3F" w:rsidRPr="00EB1C3F" w:rsidRDefault="00EB1C3F" w:rsidP="00EB1C3F">
      <w:pPr>
        <w:shd w:val="clear" w:color="auto" w:fill="FFFFFF"/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</w:pPr>
      <w:bookmarkStart w:id="0" w:name="_GoBack"/>
      <w:r w:rsidRPr="00EB1C3F"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  <w:t>22 ноября состоялось заседание Совета по профессиональным квалификациям финансового рынка</w:t>
      </w:r>
    </w:p>
    <w:bookmarkEnd w:id="0"/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Темами для обсуждения на этот раз стали усиление роли системы профессионально-общественной аккредитации, увеличение полномочий региональных представительств СПКФР, развитие нормативной базы ЦОК, разработка и актуализация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профстандартов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Традиционно для заседаний СПКФР первым на повестке дня стоял вопрос принятия в состав СПКФР новых членов. Его ряды пополнили Финансовый университет при Правительстве РФ, ВЦИОМ, Санкт-Петербургский государственный экономический университет, Национальная ассоциация экспертов экономической безопасности, Всероссийский союз страховщиков (ВСС), Общероссийский профсоюз арбитражный управляющих и «Учебный центр СКБ Контур».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«Это будет полезная совместная работа. Мы, в частности, сейчас находимся в стадии завершения работы над профессиональным стандартом по экономической безопасности. И профильная ассоциация будет очень эффективна в качестве одной из экспертных площадок по дальнейшему сопровождению этого норматива. ВЦИОМ – хорошее приобретение. Я всех поздравляю, что мы пополнились очень авторитетными организациями. Это, надеюсь, будет способствовать дальнейшему развитию и продвижению программы по оценке квалификаций на финансовом рынке страны», – прокомментировал событие Александр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Мурычев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вице-президент РСПП, председатель СПКФР.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части изменений в составе коллегиального органа управления СПКФР – в совет вошла Юлия Садыкова, заместитель директора департамента кадровой политики Банка России. «Это более высокий руководитель ЦБ. Но она давно сотрудничает с СПКФР и изначально представляла Банк России при работе над нашим совместным соглашением о сотрудничестве. Таким образом, этот документ сейчас входит в рамки практической реализации. Для СПКФР это означает, в первую очередь, координацию всей нашей работы по продвижению программ системы оценки квалификаций», – сказал Александр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Мурычев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Выступление Дианы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Маштакеевой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генерального директора Ассоциации участников финансового рынка «Совет по профессиональным квалификациям финансового рынка», было посвящено вопросу совершенствования системы профессионально-общественной аккредитации основных профессиональных образовательных программ (ОПОП), основных программ профессионального обучения (ОППО) и дополнительных профессиональных программ (ДПП).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«Напомню, что в июле 2017 года Национальным советом по профессиональным квалификациям при президенте РФ были утверждены «Общие требования к проведению профессионально-общественной аккредитации основных образовательных программ». В соответствии с этим мы обновили порядок, установленный в рамках СПКФР. Основные изменения касаются процедур, связанных с системой аккредитации организаций, участвующих в ПОА. Это значимый шаг. Если раньше мы проводили их исключительно собственными силами, то сейчас будем рассматривать заявки по предоставлению полномочий организациям, которые претендуют на деятельность в области ПОА», – сказала Диана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Маштакеева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По ее словам, до января следующего года предполагается сформировать единую систему учета и требований к экспертам-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аутсорсерам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которые будут проводить аттестацию. При этом непосредственно свидетельство о прохождении ПОА будет по-прежнему выдаваться СПКФР.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СПКФР за период проведения аккредитационных работ провел 20 ПОА и еще 12 реализует до конца 2017 года. Результатами работы Центра экспертизы и актуализации профессиональных и образовательных стандартов СПКФР стала подготовка с последующим одобрением 11 ФГОС высшего образования «Экономика и управление» и 3 ФГОС среднего профессионального образования «Экономика и управление». В настоящее время Центр приступил ко второй части работ по разработке ФГОС 3++ в части формировании ПООП. За СПКФР закреплено 30 профессиональных стандартов, находится в разработке 18 профессиональных стандартов.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Маштакеева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напомнила собравшимся, что при Национальном совете по профессиональным квалификациям сейчас создана экспертная группа по усилению роли ПОА в системе государственной аккредитации, в которую вошли представители разных отраслевых СПК, чиновники Минтруда и Минобрнауки РФ. В задачи группы также входит «ретрансляция опыта СПКФР в другие отрасли и территориальные представительства». «Новая логика построения ФГОС и ПООП (примерных основных образовательных программ, прим ред.) предполагает их независимую оценку в части учета профессиональных компетенций и снижение государственного давления при процедурах аккредитации образовательных учреждений. В этом суть ПОА – подтверждение уровня соответствия ОП требованиям профессиональных стандартов. Таким образом одним из критериев качества образовательной программы становится наличие ПОА», – сказала Диана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Маштакеева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предложив собранию подержать соответствующие изменения в локальных актах СПКФР (Положение о профессионально-общественной аккредитации образовательных программ в области экономики, управления и финансов).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Следующим вопросом для обсуждения стало развитие нормативной базы деятельности центров оценки квалификаций. Евгенией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Ванчаговой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главным специалистом СПКФР, собравшимся были презентованы два нормативных документа, разработанных советом. Один из них «Регламент взаимодействия ассоциации участников финансового рынка «Совет по профессиональным квалификациям финансового рынка» и центра оценки квалификации». «Главная цель документа – облегчение работы как СПК, так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», – констатировала Евгения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Ванчагова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Основные новации коснулись сокращения сроков на предоставление отчетности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прошедшим экзаменам (теперь в течение 7 дней после каждого экзамена, раньше – раз в квартал), а также перехода на плановые принципы работы. ЦОК должен будет подавать в СПКФР график с датами предстоящих экзаменов как минимум на месяц вперед. Также нужно будет предоставлять ежегодный отчет. «При этом, для облегчения работы ЦОК советом подготовлено приложение с типовыми документами, которые необходимо просто вовремя заполнить», – сказала Евгения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Ванчагова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Вторым представленным участникам заседания документом была новая редакция положения «Требования и порядок отбора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экспертов по независимой оценке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квалификаций и ведения реестра экспертов». Александр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Мурычев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также предложил рабочей группе СПКФР дать поручение на разработку четкой процедуры отбора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ЦОКов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«Очень много жалоб и претензий, связанных с тем, что такая процедура нигде не описана. Люди должны понимать последовательность этапов получения статуса ЦОК, сроки рассмотрения и пр. А также знать о регламентах по прекращению деятельности ЦОК», – отметил он. Изменения также коснутся постоянно действующих экспертных комиссий по отбору ЦОК. В частности, планируется делегировать часть полномочий центрального аппарата СПКФР региональным подразделениям, наделенных функциями по проведению независимой оценки квалификаций.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Сергей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Бровчак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заместитель генерального директора Ассоциации участников финансового рынка «Совет по развитию профессиональных квалификаций» рассказал о ситуации в сфере разработки и актуализации профессиональных стандартов. В 2017 году членами ассоциации, по его словам, были создано 5 новых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профстандартов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«арбитражный управляющий», «бизнес-аналитик», «экономист», «маркетолог» и «специалист по работе с инвестиционными проектами». А также актуализировано 7 стандартов: «специалист по страхованию», «риск-менеджер», «специалист по корпоративному кредитованию», «специалист по оценочной деятельности», «специалист казначейства банка», специалист по ипотечному кредитованию» и «бухгалтер». «Все стандарты приняты Минтрудом и сейчас готовятся для внесения в Национальный совет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профквалификациям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при Президенте РФ», – сказал Сергей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Бровчак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4E37" w:rsidRDefault="00974E37" w:rsidP="00974E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Также, по его словам, на завершающем этапе разработки и согласований сегодня находится еще ряд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профстандартов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один из которых – «специалист по продвижению частных или общественных интересов», то есть лоббист – вызвал живой интерес участников заседания. «Это тот пример, когда профессия, которая существует давно, но до сих пор – неформально, пробивается через асфальт государственного регулирования. Законопроект о лоббизме лежит на дальних полках уже много лет. Но в случае с нашим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профстандартом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мы видим, как рынок сам генерирует некую необходимую ему вещь, которая пойдет дальше и, надеюсь, превратиться в еще что-то более воспринимаемое государством», – прокомментировал перспективы «лоббистского»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профстандарта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Константин Корищенко, заведующий кафедрой фондовых рынков и финансового инжиниринга РАНХиГС.</w:t>
      </w:r>
    </w:p>
    <w:p w:rsidR="00E00CFA" w:rsidRPr="006204DD" w:rsidRDefault="00E00CFA" w:rsidP="006204DD"/>
    <w:sectPr w:rsidR="00E00CFA" w:rsidRPr="006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D"/>
    <w:rsid w:val="004328AB"/>
    <w:rsid w:val="006204DD"/>
    <w:rsid w:val="00974E37"/>
    <w:rsid w:val="00E00CFA"/>
    <w:rsid w:val="00E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A6DA"/>
  <w15:chartTrackingRefBased/>
  <w15:docId w15:val="{F29E076A-2D97-45A2-8BB1-34E9406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“SRPK”</dc:creator>
  <cp:keywords/>
  <dc:description/>
  <cp:lastModifiedBy>Association “SRPK”</cp:lastModifiedBy>
  <cp:revision>2</cp:revision>
  <dcterms:created xsi:type="dcterms:W3CDTF">2018-01-25T12:43:00Z</dcterms:created>
  <dcterms:modified xsi:type="dcterms:W3CDTF">2018-01-25T13:05:00Z</dcterms:modified>
</cp:coreProperties>
</file>